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10.0679779052734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36"/>
          <w:szCs w:val="36"/>
          <w:u w:val="none"/>
          <w:shd w:fill="auto" w:val="clear"/>
          <w:vertAlign w:val="baseline"/>
          <w:rtl w:val="0"/>
        </w:rPr>
        <w:t xml:space="preserve">Fixit 493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0712890625" w:line="240" w:lineRule="auto"/>
        <w:ind w:left="2493.32786560058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22"/>
          <w:szCs w:val="22"/>
          <w:u w:val="none"/>
          <w:shd w:fill="auto" w:val="clear"/>
          <w:vertAlign w:val="baseline"/>
          <w:rtl w:val="0"/>
        </w:rPr>
        <w:t xml:space="preserve">Stabilisateur pour supports minéraux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1.3037109375" w:line="239.9037265777588" w:lineRule="auto"/>
        <w:ind w:left="2495.06591796875" w:right="400.548095703125" w:hanging="2379.779968261718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Utilisation: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Fixit 493 sert à consolider les couches de surface des enduits de fond sablonneux et poreux à  base de chaux ou chaux-ciment. Les supports stabilisés avec Fixit 493 peuvent recevoir des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1962890625" w:line="240" w:lineRule="auto"/>
        <w:ind w:left="0" w:right="195.401611328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crépis minéraux. Le support doit être propre, sec et porteur. Éliminer les efflorescences ainsi que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41162109375" w:line="240" w:lineRule="auto"/>
        <w:ind w:left="0" w:right="250.428466796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les particules détachées. En présence de supports contenant des sels ou humides, une analyse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3994140625" w:line="240" w:lineRule="auto"/>
        <w:ind w:left="2488.9458465576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spéciale s’impose.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.90478515625" w:line="240" w:lineRule="auto"/>
        <w:ind w:left="115.4660034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Propriétés: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• Minéral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3994140625" w:line="240" w:lineRule="auto"/>
        <w:ind w:left="2492.905807495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• Pour supports à base de chaux et/ou ciment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3994140625" w:line="240" w:lineRule="auto"/>
        <w:ind w:left="2492.90580749511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• Profondeur de pénétration élevée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.762451171875" w:line="240" w:lineRule="auto"/>
        <w:ind w:left="115.1059722900390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Mise en œuvre: </w:t>
      </w:r>
    </w:p>
    <w:tbl>
      <w:tblPr>
        <w:tblStyle w:val="Table1"/>
        <w:tblW w:w="10194.724426269531" w:type="dxa"/>
        <w:jc w:val="left"/>
        <w:tblInd w:w="97.3259735107421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51.1801147460938"/>
        <w:gridCol w:w="7643.5443115234375"/>
        <w:tblGridChange w:id="0">
          <w:tblGrid>
            <w:gridCol w:w="2551.1801147460938"/>
            <w:gridCol w:w="7643.5443115234375"/>
          </w:tblGrid>
        </w:tblGridChange>
      </w:tblGrid>
      <w:tr>
        <w:trPr>
          <w:cantSplit w:val="0"/>
          <w:trHeight w:val="291.0449218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2.9599761962890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Données techniques</w:t>
            </w:r>
          </w:p>
        </w:tc>
      </w:tr>
      <w:tr>
        <w:trPr>
          <w:cantSplit w:val="0"/>
          <w:trHeight w:val="291.045532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3.679962158203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N° d’art.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2000143069</w:t>
            </w:r>
          </w:p>
        </w:tc>
      </w:tr>
      <w:tr>
        <w:trPr>
          <w:cantSplit w:val="0"/>
          <w:trHeight w:val="443.46374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4.14001464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Type d‘emballage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</w:rPr>
              <w:drawing>
                <wp:inline distB="19050" distT="19050" distL="19050" distR="19050">
                  <wp:extent cx="180000" cy="1800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1.0443115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4.2199707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Unités par emballage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60 unité/pal</w:t>
            </w:r>
          </w:p>
        </w:tc>
      </w:tr>
      <w:tr>
        <w:trPr>
          <w:cantSplit w:val="0"/>
          <w:trHeight w:val="291.045532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7.740020751953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Quantité par unité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 kg/unité</w:t>
            </w:r>
          </w:p>
        </w:tc>
      </w:tr>
      <w:tr>
        <w:trPr>
          <w:cantSplit w:val="0"/>
          <w:trHeight w:val="291.0443115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Adjonction d‘eau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1:1 à 1:3 avec de l‘eau propre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0.7859802246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Composition: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• Liant : Silicate de potassium avec additifs organiques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8.9862060546875" w:line="239.9037265777588" w:lineRule="auto"/>
        <w:ind w:left="2488.9459228515625" w:right="484.049072265625" w:hanging="2377.97988891601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Généralités: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Observer les règles générales de la construction, les fiches respectives de l’association  suisse des entrepreneurs plâtriers-peintres ASEPP, la norme SIA 242 « Plâtrerie, crépissage,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25732421875" w:line="240" w:lineRule="auto"/>
        <w:ind w:left="2490.385665893554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construction à sec » et les informations de cette fiche technique.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8.038330078125" w:line="239.9037265777588" w:lineRule="auto"/>
        <w:ind w:left="2475.2658081054688" w:right="240.709228515625" w:hanging="2360.15975952148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Mise en œuvre: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Fixit 493 est dilué avec de l‘eau propre puis appliqué à la brosse, au rouleau ou au gicleur  jusqu‘à saturation du support. Le processus doit être répété selon le comportement d’absorption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25732421875" w:line="240" w:lineRule="auto"/>
        <w:ind w:left="0" w:right="350.68725585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du support. Selon le support, Fixit 493 doit être dilué avec de l’eau 1:3, pour consolider le crépi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3994140625" w:line="240" w:lineRule="auto"/>
        <w:ind w:left="2495.24559020996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isolant aérogel Fixit 222, diluer au maximum 1:1.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.1080322265625" w:line="239.9037265777588" w:lineRule="auto"/>
        <w:ind w:left="108.80599975585938" w:right="110.388183593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Stockage: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En bidon et/ou sac original non entamé, protégé du gel, de la chaleur et de l’ensoleillement direct,  peut être stocké pendant au moins 12 mois.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.3609619140625" w:line="240" w:lineRule="auto"/>
        <w:ind w:left="110.7859802246093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Certificats: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6875" w:line="240" w:lineRule="auto"/>
        <w:ind w:left="2483.42796325683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432000" cy="2268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22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.3509521484375" w:line="239.90405559539795" w:lineRule="auto"/>
        <w:ind w:left="2490.025634765625" w:right="404.327392578125" w:hanging="2374.559631347656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Remarques particulières: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Ne pas mettre en oeuvre en dessous de +5 °C (air et support). Ne pas utiliser Fixit 493 sur les  enduits au plâtre. Appliquer de préférence un crépi de finition minéral sur les enduits de fond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1962890625" w:line="239.9037265777588" w:lineRule="auto"/>
        <w:ind w:left="2486.6058349609375" w:right="70.787353515625" w:firstLine="2.3400878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stabilisés avec Fixit 493. Bien protéger tous les éléments de construction attenants aux surfaces à  traiter. Nettoyer immédiatement avec de l’eau les éventuelles salissures produites avec Fixit 493.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226806640625" w:line="240" w:lineRule="auto"/>
        <w:ind w:left="2497.22557067871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Protéger les yeux et la peau.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.38787841796875" w:line="239.90405559539795" w:lineRule="auto"/>
        <w:ind w:left="2496.5057373046875" w:right="280.848388671875" w:hanging="2381.219787597656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Dispositions générales: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Cette fiche technique remplace toutes les versions précédentes de la fiche relative à ce produit.  Les données de cette fiche technique ont été rédigées soigneusement et consciencieusement,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1962890625" w:line="240" w:lineRule="auto"/>
        <w:ind w:left="0" w:right="609.887695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sur la base des connaissances et de l‘expérience acquises à ce jour, et se rapportent à une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3994140625" w:line="240" w:lineRule="auto"/>
        <w:ind w:left="0" w:right="710.328369140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application courante. Les données fournies sont sans garantie quant à leur exactitude et à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3963623046875" w:line="240" w:lineRule="auto"/>
        <w:ind w:left="0" w:right="430.787353515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leur exhaustivité et excluent toute responsabilité. Elles ne justifient également aucune relation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3994140625" w:line="240" w:lineRule="auto"/>
        <w:ind w:left="0" w:right="421.068115234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juridique contractuelle ni aucune obligation secondaire. Les clients et utilisateurs restent seuls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3994140625" w:line="240" w:lineRule="auto"/>
        <w:ind w:left="0" w:right="370.12573242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responsables de vérifier que les produits sont adaptés à l‘utilisation envisagée. Vous trouverez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40093994140625" w:line="240" w:lineRule="auto"/>
        <w:ind w:left="0" w:right="150.347900390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l‘état actuel de nos fiches techniques sur notre site Internet ou vous pouvez les obtenir auprès du 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3994140625" w:line="240" w:lineRule="auto"/>
        <w:ind w:left="2488.946151733398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service compétent.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7.0182800292969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</w:rPr>
        <w:sectPr>
          <w:pgSz w:h="16820" w:w="11900" w:orient="portrait"/>
          <w:pgMar w:bottom="521.697998046875" w:top="1602.882080078125" w:left="748.0680084228516" w:right="734.11987304687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23.333333333333336"/>
          <w:szCs w:val="23.333333333333336"/>
          <w:u w:val="none"/>
          <w:shd w:fill="auto" w:val="clear"/>
          <w:vertAlign w:val="superscript"/>
          <w:rtl w:val="0"/>
        </w:rPr>
        <w:t xml:space="preserve">Une entreprise du groupe FIXIT GRUPPE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ff"/>
          <w:sz w:val="20"/>
          <w:szCs w:val="20"/>
          <w:u w:val="none"/>
          <w:shd w:fill="auto" w:val="clear"/>
          <w:vertAlign w:val="baseline"/>
          <w:rtl w:val="0"/>
        </w:rPr>
        <w:t xml:space="preserve">www.fixit.ch/fr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49278259277344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  <w:rtl w:val="0"/>
        </w:rPr>
        <w:t xml:space="preserve">Fiche technique (FT) Valide 17.07.2024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39978027343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  <w:rtl w:val="0"/>
        </w:rPr>
        <w:t xml:space="preserve">1/1 </w:t>
      </w:r>
    </w:p>
    <w:sectPr>
      <w:type w:val="continuous"/>
      <w:pgSz w:h="16820" w:w="11900" w:orient="portrait"/>
      <w:pgMar w:bottom="521.697998046875" w:top="1602.882080078125" w:left="748.4880065917969" w:right="827.0703125" w:header="0" w:footer="720"/>
      <w:cols w:equalWidth="0" w:num="2">
        <w:col w:space="0" w:w="5180"/>
        <w:col w:space="0" w:w="518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